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9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УДК 582.675 + 581.9 (47) /633.88.03 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ОНТОГЕНЕЗ ПОЛЫНИ ГОРЬКОЙ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ARTEMISIA ABSINTHIUM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L., ASTERACEAE)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Шумилов С.В.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ФГАОУ ВО Первый МГМУ имени И.М. Сеченова Минздрава России (Сеченовский Университет), Россия, 119991, г. Москва, ул. Трубецкая,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д.8, стр.2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seregashumilov@mail.ru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Луферов А.Н.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ФГАОУ ВО Первый МГМУ имени И.М. Сеченова Минздрава России (Сеченовский Университет), Россия, 119991, г. Москва, ул. Трубецкая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,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д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.8,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стр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.2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luferov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_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a_n@staff.sechenov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.ru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ONTOGENESIS OF COMMON WORMWOOD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(</w:t>
      </w:r>
      <w:r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 xml:space="preserve">ARTEMISIA ABSINTHIUM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L., ASTERACEAE)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Shumilov S.V.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I.M. Sechenov First Moscow State Medical University, 8-2 Trubetskaya str.,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Moscow, 119991, Russia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Luferov A.N.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I.M. Sechenov First Moscow State Medical University, 8-2 Trubetskaya str.,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center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Moscow, 119991, Russia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cs="Times New Roman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Аннотация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Изучен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онтогенез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 w:eastAsia="ru-RU"/>
        </w:rPr>
        <w:t xml:space="preserve">Artemisia absinthium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L. (Asteraceae)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Московской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Впервые указаны различия проростков и всходов. Уточнена характеристика и продолжительность возрастных состояний.  </w:t>
      </w:r>
      <w:r>
        <w:rPr>
          <w:rFonts w:ascii="Times New Roman" w:hAnsi="Times New Roman" w:cs="Times New Roman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Ключевые слова: онтогенез, морфология,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Artemisia absinthium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Asteraceae. 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Abstract. Изучен онтогенез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Artemisia absinthium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L. (Asteraceae) в Московской области. Впервые указаны различия проростков и всходов. Уточнена характеристика и продолжительность возрастных состояний. </w:t>
      </w:r>
      <w:r>
        <w:rPr>
          <w:rFonts w:ascii="Times New Roman" w:hAnsi="Times New Roman" w:cs="Times New Roman"/>
        </w:rPr>
      </w:r>
      <w:r/>
    </w:p>
    <w:p>
      <w:pPr>
        <w:contextualSpacing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Keywords: онтогенез, морфология,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Artemisia absinthium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Asteraceae.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Актуальность.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Трава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Artemisia absinthium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L. − известное средство для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стимуляции секреции желчи, желудочного и панкреатического соков. Изучение онтогенеза этого вида определяется необходимостью создания промышленных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плантаций для получения сырья в необходимом объеме.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Цель работы.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Изучение особенностей онтогенеза полыни горькой.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Задачи исследования.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1). Проанализировать структурные особенности разновозрастных особей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A. absinthium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2). Провести периодизацию онтогенеза.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Материал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и методы.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Исслед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ования выполняли на территории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области в мае-октябре 2018-2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023 гг. Периодизацию онтогенеза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проводили, согласно Т.А. Работнову [3] и А.А. Уранову [4]. Возрастные изменения особей полыни горькой ранее изучал А.С. Беэр [1]. Нами результаты его работы дополнены: дан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ы новые характеристики ранних этапов развития.  Следуя взглядам И.Т. Васильченко [2], мы различаем проростки и всходы. Приведены новые признаки ювенильного этапа онтогенеза, дополнены структурные и хронологические маркеры последующих возрастных состояний.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Результаты.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A. absinthium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явля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ется стержнепридаточнокорневым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прямостоячим полукустарничком с базисимподиальным ветвлением и дициклическими полурозеточными монокарпическими побегами [1].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Латентный период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характеризуется раз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витием зародыша, состоящего из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 семядолей, терминальной почечки, гипокотиля и корня. Прорастание отмечается осенью или весной следующего после диссеминации года.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Виргинильный период.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Прорастание надземное, гипокотилярное, озимого или ярового типа.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Проросток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включает главный корень, гипокотиль, терминальную почечку и 2 семядоли.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Всход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формируется на 6-12 день после прорастания: отличается наличием боковых корней и розеточного побега с 1-3  лис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тьями.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Ювенильный этап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начинается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через 12-22 дня после прорастания. Главный корень удлиняется до 4-7 см, с боковыми корнями, а также с 1-3 придаточными корнями на гипокотиле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Имматурный этап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продолжается от 6 до 24 мес. Полурозеточный надземный побег одноосный, 20-40 см выс. Листовые пластинки как у взрослых особей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Этап взрослые вегетативные растения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(1-3 годы онтогенеза) характеризуется многоосностью. </w:t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Генеративный период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начинается на 2-4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году онтогенеза.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Этап молодых генеративных растений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продолжается 1-3 года и характеризуется развитием 1-2 цветоносов 30-70 см выс. из почек возобновления.  Листья становятся дважды перисто-рассеченные. В июле-августе формируется соцветие 10-25 см дл.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Среднее генеративное состояние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длится 1-2 года. Монокарпических побегов 1-4, до 80-130 см выс. Соцветие 20-70 см дл. Нередко развиваются вегетативные побеги. </w:t>
      </w: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Этап старых генеративных растений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продолжается 1-3 года. Генеративные побеги 30-90 см выс., соцветие 7-40 см дл.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Сенильный период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выражен, что отмечалось ранее А.С. Беэром [1].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 xml:space="preserve">Заключение.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1). Онтогенез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A. absinthium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подразделяется на латентный, виргинильный, генеративный периоды, ра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зличающиеся по комплексу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возрастных изменений. 2). Впервые растения 1-го года развития нами распределены на проростки и всходы. Охарактеризованы все этапы развития.  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Список литературы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Беэр А.С.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Сравнительное биоморфологическое исследование восточноевропейских представителей рода Artemisia L. (Asteraceae Dumor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t.) // Дис. ... канд. биол. 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‒ М. ‒ 2005. ‒ 215 с. + Пр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иложение: 208 с.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Васильченко И.Т.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значении морфологии прорастания семян для систематики растений и истории их происхождения // Флора и си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стематика высших растений. ‒ М.-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Изд-во АН СССР,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1936. ‒ Сер. 1. ‒ Вып. 3. ‒ С. 7-66.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Работнов Т.А.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Жизненные циклы многолетних травянистых растений в луговых ценозах // Труды Ботанического института АН СССР. Сер. 3. Геоботаника. ‒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М.-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Изд-во АН СССР,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1950. ‒ Вып. 6. ‒ С. 7-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204. </w:t>
      </w:r>
      <w:r>
        <w:rPr>
          <w:rFonts w:ascii="Times New Roman" w:hAnsi="Times New Roman" w:cs="Times New Roman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Уранов А.А.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Возрастной спектр фитоценопопуляций как функция времени и энергетических волновых процессов // Научные доклады высшей школы. Биол.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науки, 1975. ‒ № 2. ‒ С. 7-34. </w:t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  <w:style w:type="paragraph" w:styleId="818" w:customStyle="1">
    <w:name w:val="Текст сноски"/>
    <w:basedOn w:val="813"/>
    <w:link w:val="81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2024-08-17T18:07:45Z</dcterms:modified>
</cp:coreProperties>
</file>